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</w:p>
    <w:p w14:paraId="4F2492A7" w14:textId="646681DD" w:rsidR="00DE2D90" w:rsidRPr="00704B96" w:rsidRDefault="00904529" w:rsidP="00904529">
      <w:pPr>
        <w:rPr>
          <w:b/>
          <w:bCs/>
          <w:sz w:val="20"/>
          <w:szCs w:val="20"/>
          <w:u w:val="single"/>
        </w:rPr>
      </w:pPr>
      <w:r w:rsidRPr="00704B96">
        <w:rPr>
          <w:b/>
          <w:bCs/>
          <w:sz w:val="20"/>
          <w:szCs w:val="20"/>
          <w:u w:val="single"/>
        </w:rPr>
        <w:t xml:space="preserve">*DATA DA REUNIÃO: </w:t>
      </w:r>
      <w:r w:rsidR="0076767D">
        <w:rPr>
          <w:b/>
          <w:bCs/>
          <w:sz w:val="20"/>
          <w:szCs w:val="20"/>
          <w:u w:val="single"/>
        </w:rPr>
        <w:t>12</w:t>
      </w:r>
      <w:r w:rsidRPr="00704B96">
        <w:rPr>
          <w:b/>
          <w:bCs/>
          <w:sz w:val="20"/>
          <w:szCs w:val="20"/>
          <w:u w:val="single"/>
        </w:rPr>
        <w:t xml:space="preserve"> DE </w:t>
      </w:r>
      <w:r w:rsidR="0076767D">
        <w:rPr>
          <w:b/>
          <w:bCs/>
          <w:sz w:val="20"/>
          <w:szCs w:val="20"/>
          <w:u w:val="single"/>
        </w:rPr>
        <w:t>MARÇO</w:t>
      </w:r>
      <w:bookmarkStart w:id="0" w:name="_GoBack"/>
      <w:bookmarkEnd w:id="0"/>
      <w:r w:rsidR="00DE2D90" w:rsidRPr="00704B96">
        <w:rPr>
          <w:b/>
          <w:bCs/>
          <w:sz w:val="20"/>
          <w:szCs w:val="20"/>
          <w:u w:val="single"/>
        </w:rPr>
        <w:t xml:space="preserve"> DE 2</w:t>
      </w:r>
      <w:r w:rsidRPr="00704B96">
        <w:rPr>
          <w:b/>
          <w:bCs/>
          <w:sz w:val="20"/>
          <w:szCs w:val="20"/>
          <w:u w:val="single"/>
        </w:rPr>
        <w:t>02</w:t>
      </w:r>
      <w:r w:rsidR="00704B96" w:rsidRPr="00704B96">
        <w:rPr>
          <w:b/>
          <w:bCs/>
          <w:sz w:val="20"/>
          <w:szCs w:val="20"/>
          <w:u w:val="single"/>
        </w:rPr>
        <w:t>6</w:t>
      </w:r>
    </w:p>
    <w:p w14:paraId="2642304F" w14:textId="77777777" w:rsidR="00DE2D90" w:rsidRPr="00704B96" w:rsidRDefault="00DE2D90" w:rsidP="00904529">
      <w:pPr>
        <w:rPr>
          <w:b/>
          <w:bCs/>
          <w:sz w:val="20"/>
          <w:szCs w:val="20"/>
          <w:u w:val="single"/>
        </w:rPr>
      </w:pPr>
    </w:p>
    <w:p w14:paraId="3B0B5FA6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  <w:r w:rsidRPr="00704B96">
        <w:rPr>
          <w:b/>
          <w:bCs/>
          <w:sz w:val="20"/>
          <w:szCs w:val="20"/>
          <w:u w:val="single"/>
        </w:rPr>
        <w:t>*HORÁRIO:  CONSTA NO CALENDÁRIO DAS REUNIÕES ANUAIS</w:t>
      </w:r>
    </w:p>
    <w:p w14:paraId="3E612B50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</w:p>
    <w:p w14:paraId="30C764E5" w14:textId="77777777" w:rsidR="00904529" w:rsidRPr="00704B96" w:rsidRDefault="00904529" w:rsidP="00904529">
      <w:pPr>
        <w:jc w:val="both"/>
        <w:rPr>
          <w:rFonts w:cstheme="minorHAnsi"/>
          <w:b/>
          <w:bCs/>
          <w:sz w:val="20"/>
          <w:szCs w:val="20"/>
          <w:u w:val="single"/>
        </w:rPr>
      </w:pPr>
      <w:bookmarkStart w:id="1" w:name="_Hlk224891038"/>
      <w:r w:rsidRPr="00704B96">
        <w:rPr>
          <w:rFonts w:cstheme="minorHAnsi"/>
          <w:b/>
          <w:bCs/>
          <w:sz w:val="20"/>
          <w:szCs w:val="20"/>
          <w:u w:val="single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  <w:u w:val="single"/>
        </w:rPr>
        <w:t>COMISSÃO DE JUSTIÇA E REDAÇÃO</w:t>
      </w:r>
    </w:p>
    <w:bookmarkEnd w:id="1"/>
    <w:p w14:paraId="391DAD69" w14:textId="77777777" w:rsidR="00704B96" w:rsidRPr="00704B96" w:rsidRDefault="00704B96" w:rsidP="00704B9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2926D2F" w14:textId="7E8DF0D4" w:rsidR="00704B96" w:rsidRDefault="00704B96" w:rsidP="00704B9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04B96">
        <w:rPr>
          <w:rFonts w:ascii="Arial" w:hAnsi="Arial" w:cs="Arial"/>
          <w:b/>
          <w:bCs/>
          <w:sz w:val="20"/>
          <w:szCs w:val="20"/>
          <w:u w:val="single"/>
        </w:rPr>
        <w:t>1)PROJETO DE LEI nº01</w:t>
      </w:r>
      <w:r w:rsidR="003B4C09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704B96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p w14:paraId="265CEB7B" w14:textId="77777777" w:rsidR="003B4C09" w:rsidRPr="00704B96" w:rsidRDefault="003B4C09" w:rsidP="00704B96">
      <w:pPr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04B96" w:rsidRPr="00704B96" w14:paraId="044AC1A9" w14:textId="77777777" w:rsidTr="007F548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CF5C" w14:textId="2020BF8B" w:rsidR="00704B96" w:rsidRPr="003B4C09" w:rsidRDefault="003B4C09" w:rsidP="003B4C09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sz w:val="16"/>
                <w:szCs w:val="16"/>
                <w:u w:val="single"/>
                <w:lang w:eastAsia="en-US"/>
              </w:rPr>
            </w:pPr>
            <w:r w:rsidRPr="003B4C09">
              <w:rPr>
                <w:rFonts w:ascii="Arial" w:eastAsia="Verdana" w:hAnsi="Arial" w:cs="Arial"/>
                <w:b/>
                <w:bCs/>
              </w:rPr>
              <w:t>Dispõe sobre: “</w:t>
            </w:r>
            <w:r w:rsidRPr="003B4C09">
              <w:rPr>
                <w:rFonts w:ascii="Arial" w:eastAsia="Times New Roman" w:hAnsi="Arial" w:cs="Arial"/>
                <w:b/>
                <w:bCs/>
              </w:rPr>
              <w:t>Autoriza a abertura de Crédito Adicional Especial no valor de R$ 15.000,00 (quinze mil reais), no orçamento vigente do município de Itiquira/MT e, da outras providencias</w:t>
            </w:r>
            <w:r w:rsidRPr="003B4C0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.”.</w:t>
            </w:r>
          </w:p>
        </w:tc>
      </w:tr>
    </w:tbl>
    <w:p w14:paraId="2B2FD8E6" w14:textId="77777777" w:rsidR="004F6EC7" w:rsidRPr="00704B96" w:rsidRDefault="004F6EC7" w:rsidP="004F6EC7">
      <w:pPr>
        <w:spacing w:line="259" w:lineRule="auto"/>
        <w:rPr>
          <w:rFonts w:cstheme="minorHAnsi"/>
          <w:sz w:val="16"/>
          <w:szCs w:val="16"/>
        </w:rPr>
      </w:pPr>
    </w:p>
    <w:p w14:paraId="34643229" w14:textId="77777777" w:rsidR="00704B96" w:rsidRPr="00704B96" w:rsidRDefault="00704B96" w:rsidP="00704B96">
      <w:pPr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  <w:bookmarkStart w:id="2" w:name="_Hlk205878235"/>
      <w:r w:rsidRPr="00704B96">
        <w:rPr>
          <w:rFonts w:ascii="Arial" w:hAnsi="Arial" w:cs="Arial"/>
          <w:b/>
          <w:bCs/>
          <w:sz w:val="20"/>
          <w:szCs w:val="20"/>
          <w:u w:val="single"/>
        </w:rPr>
        <w:t xml:space="preserve">2)PROJETO DE LEI nº012/2026 -AUTOR: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04B96" w:rsidRPr="00704B96" w14:paraId="295628A1" w14:textId="77777777" w:rsidTr="00704B96">
        <w:trPr>
          <w:trHeight w:val="86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14A8" w14:textId="77777777" w:rsidR="00704B96" w:rsidRPr="003B4C09" w:rsidRDefault="00704B96" w:rsidP="007F548F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3B4C09">
              <w:rPr>
                <w:rFonts w:ascii="Arial" w:hAnsi="Arial" w:cs="Arial"/>
                <w:b/>
                <w:bCs/>
              </w:rPr>
              <w:t>Dispõe sobre: “Autoriza o Poder Executivo a abrir crédito especial por anulação, até o limite de R$ 593.000,00 (quinhentos e noventa e três mil reais), na Lei do Orçamento Programa de 2026, LOA nº 1.395, de 08 de dezembro de 2025, dá outras providências.”</w:t>
            </w:r>
          </w:p>
        </w:tc>
      </w:tr>
    </w:tbl>
    <w:p w14:paraId="227CD522" w14:textId="77777777" w:rsidR="00704B96" w:rsidRDefault="00704B96" w:rsidP="00704B96">
      <w:pPr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44E43BEE" w14:textId="0733980B" w:rsidR="00704B96" w:rsidRPr="00704B96" w:rsidRDefault="00704B96" w:rsidP="00704B96">
      <w:pPr>
        <w:jc w:val="both"/>
        <w:rPr>
          <w:rFonts w:cstheme="minorHAnsi"/>
          <w:b/>
          <w:bCs/>
          <w:sz w:val="20"/>
          <w:szCs w:val="20"/>
          <w:u w:val="single"/>
        </w:rPr>
      </w:pPr>
      <w:r w:rsidRPr="00704B96">
        <w:rPr>
          <w:rFonts w:cstheme="minorHAnsi"/>
          <w:b/>
          <w:bCs/>
          <w:sz w:val="20"/>
          <w:szCs w:val="20"/>
          <w:u w:val="single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  <w:u w:val="single"/>
        </w:rPr>
        <w:t>COMISSÃO DE ECONOMIA, FINANÇAS E FISCALIZAÇÃO</w:t>
      </w:r>
    </w:p>
    <w:p w14:paraId="737B040F" w14:textId="77777777" w:rsidR="003B4C09" w:rsidRPr="00704B96" w:rsidRDefault="003B4C09" w:rsidP="003B4C0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157AA49" w14:textId="77777777" w:rsidR="003B4C09" w:rsidRDefault="003B4C09" w:rsidP="003B4C0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04B96">
        <w:rPr>
          <w:rFonts w:ascii="Arial" w:hAnsi="Arial" w:cs="Arial"/>
          <w:b/>
          <w:bCs/>
          <w:sz w:val="20"/>
          <w:szCs w:val="20"/>
          <w:u w:val="single"/>
        </w:rPr>
        <w:t>1)PROJETO DE LEI nº01</w:t>
      </w: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704B96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p w14:paraId="2B2C8FA8" w14:textId="77777777" w:rsidR="003B4C09" w:rsidRPr="003B4C09" w:rsidRDefault="003B4C09" w:rsidP="003B4C09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B4C09" w:rsidRPr="003B4C09" w14:paraId="182CE04D" w14:textId="77777777" w:rsidTr="004659A1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167" w14:textId="77777777" w:rsidR="003B4C09" w:rsidRPr="003B4C09" w:rsidRDefault="003B4C09" w:rsidP="004659A1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u w:val="single"/>
                <w:lang w:eastAsia="en-US"/>
              </w:rPr>
            </w:pPr>
            <w:r w:rsidRPr="003B4C09">
              <w:rPr>
                <w:rFonts w:ascii="Arial" w:eastAsia="Verdana" w:hAnsi="Arial" w:cs="Arial"/>
                <w:b/>
                <w:bCs/>
              </w:rPr>
              <w:t>Dispõe sobre: “</w:t>
            </w:r>
            <w:r w:rsidRPr="003B4C09">
              <w:rPr>
                <w:rFonts w:ascii="Arial" w:eastAsia="Times New Roman" w:hAnsi="Arial" w:cs="Arial"/>
                <w:b/>
                <w:bCs/>
              </w:rPr>
              <w:t>Autoriza a abertura de Crédito Adicional Especial no valor de R$ 15.000,00 (quinze mil reais), no orçamento vigente do município de Itiquira/MT e, da outras providencias.”.</w:t>
            </w:r>
          </w:p>
        </w:tc>
      </w:tr>
    </w:tbl>
    <w:p w14:paraId="1DF00E8B" w14:textId="78948406" w:rsidR="00704B96" w:rsidRDefault="00704B96" w:rsidP="00904529">
      <w:pPr>
        <w:rPr>
          <w:b/>
          <w:bCs/>
          <w:sz w:val="20"/>
          <w:szCs w:val="20"/>
          <w:u w:val="single"/>
        </w:rPr>
      </w:pPr>
    </w:p>
    <w:p w14:paraId="6DA8C67C" w14:textId="5F9BA0F4" w:rsidR="003B4C09" w:rsidRDefault="003B4C09" w:rsidP="003B4C09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704B96">
        <w:rPr>
          <w:rFonts w:ascii="Arial" w:hAnsi="Arial" w:cs="Arial"/>
          <w:b/>
          <w:bCs/>
          <w:sz w:val="20"/>
          <w:szCs w:val="20"/>
          <w:u w:val="single"/>
        </w:rPr>
        <w:t>)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CONTAS ANUAIS DE GOVERNO DO PODER EXECUTIVO, EXERCÍCIKO DE 2024</w:t>
      </w:r>
      <w:r w:rsidRPr="00704B96">
        <w:rPr>
          <w:rFonts w:ascii="Arial" w:hAnsi="Arial" w:cs="Arial"/>
          <w:b/>
          <w:bCs/>
          <w:sz w:val="20"/>
          <w:szCs w:val="20"/>
          <w:u w:val="single"/>
        </w:rPr>
        <w:t xml:space="preserve">UTIVO </w:t>
      </w:r>
    </w:p>
    <w:p w14:paraId="7ED3753C" w14:textId="77777777" w:rsidR="003B4C09" w:rsidRPr="00704B96" w:rsidRDefault="003B4C09" w:rsidP="003B4C09">
      <w:pPr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B4C09" w:rsidRPr="00704B96" w14:paraId="311D80A5" w14:textId="77777777" w:rsidTr="004659A1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81C" w14:textId="42272DB5" w:rsidR="003B4C09" w:rsidRPr="003B4C09" w:rsidRDefault="003B4C09" w:rsidP="003B4C0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  <w:u w:val="single"/>
                <w:lang w:eastAsia="en-US"/>
              </w:rPr>
            </w:pPr>
            <w:r w:rsidRPr="003B4C09">
              <w:rPr>
                <w:rFonts w:ascii="Arial" w:eastAsia="Times New Roman" w:hAnsi="Arial" w:cs="Arial"/>
                <w:b/>
              </w:rPr>
              <w:t>Processo nº184.929-8/2024 - TCE - MT, Parecer Prévio nº143/2025-PP, que</w:t>
            </w:r>
            <w:r w:rsidRPr="003B4C09">
              <w:rPr>
                <w:rFonts w:ascii="Arial" w:eastAsia="Times New Roman" w:hAnsi="Arial" w:cs="Arial"/>
              </w:rPr>
              <w:t xml:space="preserve"> trata das </w:t>
            </w:r>
            <w:r w:rsidRPr="003B4C09">
              <w:rPr>
                <w:rFonts w:ascii="Arial" w:eastAsia="Times New Roman" w:hAnsi="Arial" w:cs="Arial"/>
                <w:b/>
                <w:u w:val="single"/>
              </w:rPr>
              <w:t>Contas Anuais de Governo do Poder Executivo Municipal</w:t>
            </w:r>
            <w:r w:rsidRPr="003B4C09">
              <w:rPr>
                <w:rFonts w:ascii="Arial" w:eastAsia="Times New Roman" w:hAnsi="Arial" w:cs="Arial"/>
              </w:rPr>
              <w:t xml:space="preserve">, </w:t>
            </w:r>
            <w:r w:rsidRPr="003B4C09">
              <w:rPr>
                <w:rFonts w:ascii="Arial" w:eastAsia="Times New Roman" w:hAnsi="Arial" w:cs="Arial"/>
                <w:b/>
                <w:bCs/>
                <w:u w:val="single"/>
              </w:rPr>
              <w:t>exercício 2024</w:t>
            </w:r>
          </w:p>
        </w:tc>
      </w:tr>
    </w:tbl>
    <w:p w14:paraId="689FA3D3" w14:textId="750E4B6B" w:rsidR="003B4C09" w:rsidRDefault="003B4C09" w:rsidP="003B4C09">
      <w:pPr>
        <w:rPr>
          <w:b/>
          <w:bCs/>
          <w:sz w:val="20"/>
          <w:szCs w:val="20"/>
          <w:u w:val="single"/>
        </w:rPr>
      </w:pPr>
    </w:p>
    <w:p w14:paraId="3E4CB1F4" w14:textId="77777777" w:rsidR="003B4C09" w:rsidRDefault="003B4C09" w:rsidP="003B4C09">
      <w:pPr>
        <w:rPr>
          <w:b/>
          <w:bCs/>
          <w:sz w:val="20"/>
          <w:szCs w:val="20"/>
          <w:u w:val="single"/>
        </w:rPr>
      </w:pPr>
    </w:p>
    <w:p w14:paraId="1F53BCF4" w14:textId="77777777" w:rsidR="003B4C09" w:rsidRPr="00704B96" w:rsidRDefault="003B4C09" w:rsidP="003B4C09">
      <w:pPr>
        <w:jc w:val="both"/>
        <w:rPr>
          <w:rFonts w:cstheme="minorHAnsi"/>
          <w:b/>
          <w:bCs/>
          <w:sz w:val="20"/>
          <w:szCs w:val="20"/>
        </w:rPr>
      </w:pPr>
      <w:r w:rsidRPr="00704B96">
        <w:rPr>
          <w:rFonts w:cstheme="minorHAnsi"/>
          <w:b/>
          <w:bCs/>
          <w:sz w:val="20"/>
          <w:szCs w:val="20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</w:rPr>
        <w:t>COMISSÃO DE SERVIÇOS E OBRAS PÚBLICAS</w:t>
      </w:r>
    </w:p>
    <w:p w14:paraId="6A8491EA" w14:textId="77777777" w:rsidR="003B4C09" w:rsidRPr="003B4C09" w:rsidRDefault="003B4C09" w:rsidP="003B4C09">
      <w:pPr>
        <w:rPr>
          <w:rFonts w:ascii="Arial" w:hAnsi="Arial" w:cs="Arial"/>
          <w:b/>
          <w:bCs/>
          <w:sz w:val="20"/>
          <w:szCs w:val="20"/>
        </w:rPr>
      </w:pPr>
      <w:r w:rsidRPr="003B4C09">
        <w:rPr>
          <w:rFonts w:ascii="Arial" w:hAnsi="Arial" w:cs="Arial"/>
          <w:b/>
          <w:bCs/>
          <w:sz w:val="20"/>
          <w:szCs w:val="20"/>
        </w:rPr>
        <w:t>Não há projetos a serem analisados.</w:t>
      </w:r>
    </w:p>
    <w:p w14:paraId="7ADE9D77" w14:textId="77777777" w:rsidR="003B4C09" w:rsidRDefault="003B4C09" w:rsidP="003B4C09">
      <w:pPr>
        <w:rPr>
          <w:b/>
          <w:bCs/>
          <w:sz w:val="20"/>
          <w:szCs w:val="20"/>
          <w:u w:val="single"/>
        </w:rPr>
      </w:pPr>
    </w:p>
    <w:p w14:paraId="494BC7CE" w14:textId="77777777" w:rsidR="003B4C09" w:rsidRPr="00704B96" w:rsidRDefault="003B4C09" w:rsidP="003B4C09">
      <w:pPr>
        <w:jc w:val="both"/>
        <w:rPr>
          <w:rFonts w:cstheme="minorHAnsi"/>
          <w:b/>
          <w:bCs/>
          <w:sz w:val="20"/>
          <w:szCs w:val="20"/>
        </w:rPr>
      </w:pPr>
      <w:r w:rsidRPr="00704B96">
        <w:rPr>
          <w:rFonts w:cstheme="minorHAnsi"/>
          <w:b/>
          <w:bCs/>
          <w:sz w:val="20"/>
          <w:szCs w:val="20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</w:rPr>
        <w:t>COMISSÃO DE EDUCAÇÃO, CULTURA, SAÚDE E ASSISTÊNCIA SOCIAL</w:t>
      </w:r>
    </w:p>
    <w:p w14:paraId="7B3D0120" w14:textId="77777777" w:rsidR="003B4C09" w:rsidRPr="003B4C09" w:rsidRDefault="003B4C09" w:rsidP="003B4C09">
      <w:pPr>
        <w:rPr>
          <w:rFonts w:ascii="Arial" w:hAnsi="Arial" w:cs="Arial"/>
          <w:b/>
          <w:bCs/>
          <w:sz w:val="20"/>
          <w:szCs w:val="20"/>
        </w:rPr>
      </w:pPr>
      <w:r w:rsidRPr="003B4C09">
        <w:rPr>
          <w:rFonts w:ascii="Arial" w:hAnsi="Arial" w:cs="Arial"/>
          <w:b/>
          <w:bCs/>
          <w:sz w:val="20"/>
          <w:szCs w:val="20"/>
        </w:rPr>
        <w:t>Não há projetos a serem analisados.</w:t>
      </w:r>
    </w:p>
    <w:p w14:paraId="6E6119EA" w14:textId="77777777" w:rsidR="003B4C09" w:rsidRDefault="003B4C09" w:rsidP="003B4C09">
      <w:pPr>
        <w:rPr>
          <w:b/>
          <w:bCs/>
          <w:sz w:val="20"/>
          <w:szCs w:val="20"/>
          <w:u w:val="single"/>
        </w:rPr>
      </w:pPr>
    </w:p>
    <w:p w14:paraId="1E2C186D" w14:textId="77777777" w:rsidR="003B4C09" w:rsidRPr="00704B96" w:rsidRDefault="003B4C09" w:rsidP="003B4C09">
      <w:pPr>
        <w:jc w:val="both"/>
        <w:rPr>
          <w:rFonts w:cstheme="minorHAnsi"/>
          <w:b/>
          <w:bCs/>
          <w:sz w:val="20"/>
          <w:szCs w:val="20"/>
        </w:rPr>
      </w:pPr>
      <w:r w:rsidRPr="00704B96">
        <w:rPr>
          <w:rFonts w:cstheme="minorHAnsi"/>
          <w:b/>
          <w:bCs/>
          <w:sz w:val="20"/>
          <w:szCs w:val="20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</w:rPr>
        <w:t>COMISSÃO DE MEIO AMBIENTE E DESENVOLVIENTO SUSTENTÁVEL</w:t>
      </w:r>
    </w:p>
    <w:p w14:paraId="1CB1CF2A" w14:textId="77777777" w:rsidR="003B4C09" w:rsidRPr="003B4C09" w:rsidRDefault="003B4C09" w:rsidP="003B4C09">
      <w:pPr>
        <w:rPr>
          <w:rFonts w:ascii="Arial" w:hAnsi="Arial" w:cs="Arial"/>
          <w:b/>
          <w:bCs/>
          <w:sz w:val="16"/>
          <w:szCs w:val="16"/>
        </w:rPr>
      </w:pPr>
      <w:r w:rsidRPr="003B4C09">
        <w:rPr>
          <w:rFonts w:ascii="Arial" w:hAnsi="Arial" w:cs="Arial"/>
          <w:b/>
          <w:bCs/>
          <w:sz w:val="16"/>
          <w:szCs w:val="16"/>
        </w:rPr>
        <w:t>Não há projetos a serem analisados.</w:t>
      </w:r>
    </w:p>
    <w:p w14:paraId="6C652F42" w14:textId="77777777" w:rsidR="003B4C09" w:rsidRPr="00704B96" w:rsidRDefault="003B4C09" w:rsidP="003B4C09">
      <w:pPr>
        <w:rPr>
          <w:b/>
          <w:bCs/>
          <w:sz w:val="20"/>
          <w:szCs w:val="20"/>
          <w:u w:val="single"/>
        </w:rPr>
      </w:pPr>
    </w:p>
    <w:p w14:paraId="407034E4" w14:textId="77777777" w:rsidR="003B4C09" w:rsidRPr="00704B96" w:rsidRDefault="003B4C09" w:rsidP="003B4C09">
      <w:pPr>
        <w:rPr>
          <w:b/>
          <w:bCs/>
          <w:sz w:val="20"/>
          <w:szCs w:val="20"/>
          <w:u w:val="single"/>
        </w:rPr>
      </w:pPr>
    </w:p>
    <w:bookmarkEnd w:id="2"/>
    <w:sectPr w:rsidR="003B4C09" w:rsidRPr="00704B96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C52530" w:rsidRDefault="00C52530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C52530" w:rsidRDefault="00C52530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C52530" w:rsidRDefault="00B14D17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B14D17" w:rsidRDefault="00B1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C52530" w:rsidRDefault="00C52530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C52530" w:rsidRDefault="00C52530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C52530" w:rsidRDefault="00C5253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D06A7C"/>
    <w:multiLevelType w:val="hybridMultilevel"/>
    <w:tmpl w:val="B5F656EC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60BC9"/>
    <w:rsid w:val="00175D2D"/>
    <w:rsid w:val="00181092"/>
    <w:rsid w:val="00192824"/>
    <w:rsid w:val="001A0424"/>
    <w:rsid w:val="001A61FE"/>
    <w:rsid w:val="001B03AB"/>
    <w:rsid w:val="001B559F"/>
    <w:rsid w:val="001C6F86"/>
    <w:rsid w:val="00205CF4"/>
    <w:rsid w:val="00211002"/>
    <w:rsid w:val="002359D0"/>
    <w:rsid w:val="00235D8F"/>
    <w:rsid w:val="00236220"/>
    <w:rsid w:val="002378B8"/>
    <w:rsid w:val="00283230"/>
    <w:rsid w:val="002A4B5D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B4C09"/>
    <w:rsid w:val="003D0469"/>
    <w:rsid w:val="003E3087"/>
    <w:rsid w:val="003F18D9"/>
    <w:rsid w:val="00406DBD"/>
    <w:rsid w:val="004127A4"/>
    <w:rsid w:val="00452A7C"/>
    <w:rsid w:val="00460910"/>
    <w:rsid w:val="00477FAA"/>
    <w:rsid w:val="004865F4"/>
    <w:rsid w:val="004927D1"/>
    <w:rsid w:val="004A3FEE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6EC7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57A81"/>
    <w:rsid w:val="00672CEF"/>
    <w:rsid w:val="00697FFA"/>
    <w:rsid w:val="006C797E"/>
    <w:rsid w:val="006C7E64"/>
    <w:rsid w:val="006D203F"/>
    <w:rsid w:val="006F3EEF"/>
    <w:rsid w:val="00704B96"/>
    <w:rsid w:val="00714F5B"/>
    <w:rsid w:val="0071603C"/>
    <w:rsid w:val="0071791C"/>
    <w:rsid w:val="00723045"/>
    <w:rsid w:val="0072406F"/>
    <w:rsid w:val="00745C93"/>
    <w:rsid w:val="00746E7A"/>
    <w:rsid w:val="00755716"/>
    <w:rsid w:val="00763C53"/>
    <w:rsid w:val="0076767D"/>
    <w:rsid w:val="007677F5"/>
    <w:rsid w:val="007B00D1"/>
    <w:rsid w:val="007E2178"/>
    <w:rsid w:val="007E7D3B"/>
    <w:rsid w:val="00800167"/>
    <w:rsid w:val="008078E8"/>
    <w:rsid w:val="0083712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4446B"/>
    <w:rsid w:val="00A44F68"/>
    <w:rsid w:val="00A45C60"/>
    <w:rsid w:val="00A473D9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2758"/>
    <w:rsid w:val="00B74C87"/>
    <w:rsid w:val="00B769D2"/>
    <w:rsid w:val="00B838A6"/>
    <w:rsid w:val="00B862D9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10759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2D90"/>
    <w:rsid w:val="00DE4DB9"/>
    <w:rsid w:val="00DE5F35"/>
    <w:rsid w:val="00E054D8"/>
    <w:rsid w:val="00E26FF7"/>
    <w:rsid w:val="00E53F81"/>
    <w:rsid w:val="00E66763"/>
    <w:rsid w:val="00E74BDC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7D3"/>
    <w:rsid w:val="00F02CD6"/>
    <w:rsid w:val="00F03BC1"/>
    <w:rsid w:val="00F131D6"/>
    <w:rsid w:val="00F31D1D"/>
    <w:rsid w:val="00F35A41"/>
    <w:rsid w:val="00F53043"/>
    <w:rsid w:val="00F540BA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3B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F31B-AB60-466B-8D58-7920932B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3</cp:revision>
  <cp:lastPrinted>2025-03-19T14:18:00Z</cp:lastPrinted>
  <dcterms:created xsi:type="dcterms:W3CDTF">2026-03-20T13:34:00Z</dcterms:created>
  <dcterms:modified xsi:type="dcterms:W3CDTF">2026-03-20T13:45:00Z</dcterms:modified>
</cp:coreProperties>
</file>